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bookmarkEnd w:id="0"/>
      <w:r w:rsidRPr="000D0857">
        <w:rPr>
          <w:rFonts w:eastAsia="Times New Roman"/>
          <w:b/>
          <w:bCs/>
          <w:sz w:val="28"/>
          <w:szCs w:val="24"/>
        </w:rPr>
        <w:t xml:space="preserve">Аннотация к </w:t>
      </w:r>
      <w:proofErr w:type="gramStart"/>
      <w:r w:rsidRPr="000D0857">
        <w:rPr>
          <w:rFonts w:eastAsia="Times New Roman"/>
          <w:b/>
          <w:bCs/>
          <w:sz w:val="28"/>
          <w:szCs w:val="24"/>
        </w:rPr>
        <w:t>рабочей</w:t>
      </w:r>
      <w:proofErr w:type="gramEnd"/>
      <w:r w:rsidRPr="000D0857">
        <w:rPr>
          <w:rFonts w:eastAsia="Times New Roman"/>
          <w:b/>
          <w:bCs/>
          <w:sz w:val="28"/>
          <w:szCs w:val="24"/>
        </w:rPr>
        <w:t xml:space="preserve"> программе по предмету </w:t>
      </w:r>
    </w:p>
    <w:p w:rsidR="000A3AD4" w:rsidRDefault="000A3AD4" w:rsidP="000D085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4"/>
        </w:rPr>
        <w:t>Математика: алгебра и начала анализа, геометрия.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329"/>
      </w:tblGrid>
      <w:tr w:rsidR="000D0857" w:rsidRPr="000D0857" w:rsidTr="00E46174">
        <w:tc>
          <w:tcPr>
            <w:tcW w:w="2127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8329" w:type="dxa"/>
          </w:tcPr>
          <w:p w:rsidR="000A3AD4" w:rsidRPr="000A3AD4" w:rsidRDefault="000A3AD4" w:rsidP="000A3AD4">
            <w:pPr>
              <w:ind w:right="20"/>
              <w:jc w:val="center"/>
              <w:rPr>
                <w:sz w:val="20"/>
                <w:szCs w:val="20"/>
              </w:rPr>
            </w:pPr>
            <w:r w:rsidRPr="000A3AD4">
              <w:rPr>
                <w:rFonts w:eastAsia="Times New Roman"/>
                <w:bCs/>
                <w:sz w:val="28"/>
                <w:szCs w:val="24"/>
              </w:rPr>
              <w:t>Математика: алге</w:t>
            </w:r>
            <w:r>
              <w:rPr>
                <w:rFonts w:eastAsia="Times New Roman"/>
                <w:bCs/>
                <w:sz w:val="28"/>
                <w:szCs w:val="24"/>
              </w:rPr>
              <w:t>бра и начала анализа, геометрия</w:t>
            </w:r>
          </w:p>
          <w:p w:rsidR="000D0857" w:rsidRPr="000D0857" w:rsidRDefault="000D0857">
            <w:pPr>
              <w:rPr>
                <w:sz w:val="28"/>
              </w:rPr>
            </w:pP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8329" w:type="dxa"/>
          </w:tcPr>
          <w:p w:rsidR="000D0857" w:rsidRPr="000D0857" w:rsidRDefault="000A3AD4">
            <w:pPr>
              <w:rPr>
                <w:sz w:val="28"/>
              </w:rPr>
            </w:pPr>
            <w:r>
              <w:rPr>
                <w:sz w:val="28"/>
              </w:rPr>
              <w:t>11 в</w:t>
            </w: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0D0857" w:rsidRPr="000D0857" w:rsidRDefault="000A3AD4">
            <w:pPr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8329" w:type="dxa"/>
          </w:tcPr>
          <w:p w:rsidR="000D0857" w:rsidRPr="000D0857" w:rsidRDefault="000A3AD4">
            <w:pPr>
              <w:rPr>
                <w:sz w:val="28"/>
              </w:rPr>
            </w:pPr>
            <w:r>
              <w:rPr>
                <w:sz w:val="28"/>
              </w:rPr>
              <w:t>Мосенкова Л.А.</w:t>
            </w: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8329" w:type="dxa"/>
          </w:tcPr>
          <w:p w:rsidR="000A3AD4" w:rsidRPr="00146E06" w:rsidRDefault="000A3AD4" w:rsidP="000A3AD4">
            <w:pPr>
              <w:ind w:left="142" w:right="252"/>
            </w:pPr>
            <w:r w:rsidRPr="00146E06">
              <w:t>А.Г. Мордкович.</w:t>
            </w:r>
            <w:r>
              <w:t xml:space="preserve"> </w:t>
            </w:r>
            <w:r w:rsidRPr="00146E06">
              <w:t xml:space="preserve">Алгебра и начала математического анализа.10 - 11 класс. В 2 ч. Ч.1. Учебник для учащихся общеобразовательных учреждений - </w:t>
            </w:r>
            <w:r>
              <w:t>11</w:t>
            </w:r>
            <w:r w:rsidRPr="00146E06">
              <w:t xml:space="preserve"> – е издание - М. «Мн</w:t>
            </w:r>
            <w:r>
              <w:t>емозина», 2010</w:t>
            </w:r>
            <w:r w:rsidRPr="00146E06">
              <w:t>.</w:t>
            </w:r>
          </w:p>
          <w:p w:rsidR="000A3AD4" w:rsidRPr="00146E06" w:rsidRDefault="000A3AD4" w:rsidP="000A3AD4">
            <w:pPr>
              <w:ind w:left="142" w:right="252"/>
            </w:pPr>
            <w:r w:rsidRPr="00146E06">
              <w:t xml:space="preserve">А.Г. Мордкович и др. Алгебра и начала математического анализа. 10 - 11 класс. В 2 ч. Ч.2. Задачник для учащихся общеобразовательных учреждений. - </w:t>
            </w:r>
            <w:r>
              <w:t xml:space="preserve"> М. «Мнемозина», 2010</w:t>
            </w:r>
            <w:r w:rsidRPr="00146E06">
              <w:t xml:space="preserve">. </w:t>
            </w:r>
          </w:p>
          <w:p w:rsidR="000A3AD4" w:rsidRPr="00FE0D34" w:rsidRDefault="000A3AD4" w:rsidP="000A3AD4">
            <w:pPr>
              <w:ind w:left="142" w:right="252"/>
            </w:pPr>
            <w:r w:rsidRPr="00146E06">
              <w:t xml:space="preserve">Геометрия, 10-11: Учебник  для </w:t>
            </w:r>
            <w:proofErr w:type="spellStart"/>
            <w:r w:rsidRPr="00146E06">
              <w:t>общеобразоват</w:t>
            </w:r>
            <w:proofErr w:type="spellEnd"/>
            <w:r w:rsidRPr="00146E06">
              <w:t>. учреждений: базовый и профильный уровни /</w:t>
            </w:r>
            <w:proofErr w:type="spellStart"/>
            <w:r w:rsidRPr="00146E06">
              <w:t>Л.С.Атанасян</w:t>
            </w:r>
            <w:proofErr w:type="spellEnd"/>
            <w:r w:rsidRPr="00146E06">
              <w:t xml:space="preserve">,    </w:t>
            </w:r>
            <w:proofErr w:type="spellStart"/>
            <w:r w:rsidRPr="00146E06">
              <w:t>В.Ф.Бутузов</w:t>
            </w:r>
            <w:proofErr w:type="spellEnd"/>
            <w:r w:rsidRPr="00146E06">
              <w:t xml:space="preserve">, </w:t>
            </w:r>
            <w:proofErr w:type="spellStart"/>
            <w:r w:rsidRPr="00146E06">
              <w:t>С.Б.Кадомцев</w:t>
            </w:r>
            <w:proofErr w:type="spellEnd"/>
            <w:r w:rsidRPr="00146E06">
              <w:t xml:space="preserve"> и др. – М.: Просвещение, 2009</w:t>
            </w:r>
          </w:p>
          <w:p w:rsidR="000D0857" w:rsidRPr="000D0857" w:rsidRDefault="000D0857" w:rsidP="000D0857">
            <w:pPr>
              <w:tabs>
                <w:tab w:val="left" w:pos="2338"/>
              </w:tabs>
              <w:rPr>
                <w:sz w:val="28"/>
              </w:rPr>
            </w:pP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A3AD4" w:rsidP="000D0857">
            <w:pPr>
              <w:rPr>
                <w:sz w:val="28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Цели </w:t>
            </w:r>
            <w:r w:rsidR="000D0857" w:rsidRPr="000D0857">
              <w:rPr>
                <w:rFonts w:eastAsia="Times New Roman"/>
                <w:sz w:val="28"/>
                <w:szCs w:val="24"/>
              </w:rPr>
              <w:t xml:space="preserve"> курса</w:t>
            </w:r>
          </w:p>
        </w:tc>
        <w:tc>
          <w:tcPr>
            <w:tcW w:w="8329" w:type="dxa"/>
          </w:tcPr>
          <w:p w:rsidR="000A3AD4" w:rsidRPr="00CE56EB" w:rsidRDefault="000A3AD4" w:rsidP="000A3AD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overflowPunct w:val="0"/>
              <w:autoSpaceDE w:val="0"/>
              <w:autoSpaceDN w:val="0"/>
              <w:adjustRightInd w:val="0"/>
              <w:ind w:left="142" w:right="252" w:firstLine="0"/>
              <w:jc w:val="both"/>
              <w:textAlignment w:val="baseline"/>
            </w:pPr>
            <w:r w:rsidRPr="00CE56EB">
              <w:rPr>
                <w:bCs/>
              </w:rPr>
              <w:t>формирование представлений</w:t>
            </w:r>
            <w:r w:rsidRPr="00CE56EB">
              <w:t xml:space="preserve"> о математике, как универсальном языке</w:t>
            </w:r>
          </w:p>
          <w:p w:rsidR="000A3AD4" w:rsidRPr="00CE56EB" w:rsidRDefault="000A3AD4" w:rsidP="000A3AD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overflowPunct w:val="0"/>
              <w:autoSpaceDE w:val="0"/>
              <w:autoSpaceDN w:val="0"/>
              <w:adjustRightInd w:val="0"/>
              <w:ind w:left="142" w:right="252" w:firstLine="0"/>
              <w:jc w:val="both"/>
              <w:textAlignment w:val="baseline"/>
            </w:pPr>
            <w:r w:rsidRPr="00CE56EB">
              <w:t xml:space="preserve"> науки, </w:t>
            </w:r>
            <w:proofErr w:type="gramStart"/>
            <w:r w:rsidRPr="00CE56EB">
              <w:t>средстве</w:t>
            </w:r>
            <w:proofErr w:type="gramEnd"/>
            <w:r w:rsidRPr="00CE56EB">
              <w:t xml:space="preserve"> моделирования явлений и процессов, об идеях и методах математики; </w:t>
            </w:r>
          </w:p>
          <w:p w:rsidR="000A3AD4" w:rsidRPr="00CE56EB" w:rsidRDefault="000A3AD4" w:rsidP="000A3AD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overflowPunct w:val="0"/>
              <w:autoSpaceDE w:val="0"/>
              <w:autoSpaceDN w:val="0"/>
              <w:adjustRightInd w:val="0"/>
              <w:ind w:left="142" w:right="252" w:firstLine="0"/>
              <w:jc w:val="both"/>
              <w:textAlignment w:val="baseline"/>
            </w:pPr>
            <w:r w:rsidRPr="00CE56EB">
              <w:rPr>
                <w:bCs/>
              </w:rPr>
              <w:t xml:space="preserve">развитие </w:t>
            </w:r>
            <w:r w:rsidRPr="00CE56EB"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0A3AD4" w:rsidRPr="00CE56EB" w:rsidRDefault="000A3AD4" w:rsidP="000A3AD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overflowPunct w:val="0"/>
              <w:autoSpaceDE w:val="0"/>
              <w:autoSpaceDN w:val="0"/>
              <w:adjustRightInd w:val="0"/>
              <w:ind w:left="142" w:right="252" w:firstLine="0"/>
              <w:jc w:val="both"/>
              <w:textAlignment w:val="baseline"/>
            </w:pPr>
            <w:r w:rsidRPr="00CE56EB">
              <w:rPr>
                <w:bCs/>
              </w:rPr>
              <w:t>овладение математическими знаниями и умениями</w:t>
            </w:r>
            <w:r w:rsidRPr="00CE56EB"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0A3AD4" w:rsidRPr="00CE56EB" w:rsidRDefault="000A3AD4" w:rsidP="000A3AD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overflowPunct w:val="0"/>
              <w:autoSpaceDE w:val="0"/>
              <w:autoSpaceDN w:val="0"/>
              <w:adjustRightInd w:val="0"/>
              <w:ind w:left="142" w:right="252" w:firstLine="0"/>
              <w:jc w:val="both"/>
              <w:textAlignment w:val="baseline"/>
            </w:pPr>
            <w:r w:rsidRPr="00CE56EB">
              <w:rPr>
                <w:bCs/>
              </w:rPr>
              <w:t xml:space="preserve">воспитание </w:t>
            </w:r>
            <w:r w:rsidRPr="00CE56EB">
              <w:t xml:space="preserve">средствами математики культуры личности: </w:t>
            </w:r>
            <w:r w:rsidRPr="00CE56EB">
              <w:rPr>
                <w:color w:val="000000"/>
              </w:rPr>
              <w:t>отношения к математике как части общечеловеческой культуры:</w:t>
            </w:r>
            <w:r w:rsidRPr="00CE56EB"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0D0857" w:rsidRPr="000D0857" w:rsidRDefault="000D0857">
            <w:pPr>
              <w:rPr>
                <w:sz w:val="28"/>
              </w:rPr>
            </w:pP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8329" w:type="dxa"/>
          </w:tcPr>
          <w:p w:rsidR="000D0857" w:rsidRPr="000D0857" w:rsidRDefault="000A3AD4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8329" w:type="dxa"/>
          </w:tcPr>
          <w:p w:rsidR="000D0857" w:rsidRPr="000D0857" w:rsidRDefault="000A3AD4">
            <w:pPr>
              <w:rPr>
                <w:sz w:val="28"/>
              </w:rPr>
            </w:pPr>
            <w:r>
              <w:t>Базовый уровень,  11 кл.,136ч.(4</w:t>
            </w:r>
            <w:r w:rsidRPr="00403EF7">
              <w:t>часа  в неделю).</w:t>
            </w: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A3AD4" w:rsidP="000D0857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Т</w:t>
            </w:r>
            <w:r w:rsidR="000D0857" w:rsidRPr="000D0857">
              <w:rPr>
                <w:rFonts w:eastAsia="Times New Roman"/>
                <w:sz w:val="28"/>
                <w:szCs w:val="24"/>
              </w:rPr>
              <w:t xml:space="preserve">ребования </w:t>
            </w:r>
            <w:proofErr w:type="gramStart"/>
            <w:r w:rsidR="000D0857" w:rsidRPr="000D0857">
              <w:rPr>
                <w:rFonts w:eastAsia="Times New Roman"/>
                <w:sz w:val="28"/>
                <w:szCs w:val="24"/>
              </w:rPr>
              <w:t>к</w:t>
            </w:r>
            <w:proofErr w:type="gramEnd"/>
          </w:p>
          <w:p w:rsidR="000D0857" w:rsidRPr="000D0857" w:rsidRDefault="000D0857" w:rsidP="000A3AD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</w:t>
            </w:r>
          </w:p>
        </w:tc>
        <w:tc>
          <w:tcPr>
            <w:tcW w:w="8329" w:type="dxa"/>
          </w:tcPr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color w:val="000000"/>
              </w:rPr>
              <w:t xml:space="preserve">Изучение математики в ХI классе дает возможность </w:t>
            </w:r>
            <w:proofErr w:type="gramStart"/>
            <w:r w:rsidRPr="00A419E2">
              <w:rPr>
                <w:color w:val="000000"/>
              </w:rPr>
              <w:t>обучающимся</w:t>
            </w:r>
            <w:proofErr w:type="gramEnd"/>
            <w:r w:rsidRPr="00A419E2">
              <w:rPr>
                <w:color w:val="000000"/>
              </w:rPr>
              <w:t xml:space="preserve"> достичь следующих результатов развития: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color w:val="000000"/>
              </w:rPr>
              <w:t>1) </w:t>
            </w:r>
            <w:r w:rsidRPr="00A419E2">
              <w:rPr>
                <w:i/>
                <w:iCs/>
                <w:color w:val="000000"/>
              </w:rPr>
              <w:t>в личностном направлении: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 w:rsidRPr="00A419E2">
              <w:rPr>
                <w:color w:val="00000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критичность мышления, умение распознавать логически некорректные высказывания, отличать гипотезу от факта;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•</w:t>
            </w:r>
            <w:r w:rsidRPr="00A419E2">
              <w:rPr>
                <w:color w:val="000000"/>
              </w:rPr>
              <w:t xml:space="preserve"> креативность мышления, инициатива, находчивость, активность при решении математических задач;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контролировать процесс и результат учебной математической деятельности;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способность к эмоциональному восприятию математических объектов, задач, решений, рассуждений;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color w:val="000000"/>
              </w:rPr>
              <w:t xml:space="preserve">2) </w:t>
            </w:r>
            <w:r w:rsidRPr="00A419E2">
              <w:rPr>
                <w:i/>
                <w:iCs/>
                <w:color w:val="000000"/>
              </w:rPr>
              <w:t>в метапредметном направлении: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представления об идеях и о методах математики как универсальном языке науки и техники, средстве моделирования явлений и процессов;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видеть математическую задачу в контексте проблемной ситуации в других дисциплинах, в окружающей жизни;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выдвигать гипотезы при решении учебных задач, понимать необходимость их проверки;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применять индуктивные и дедуктивные способы рассуждений, видеть различные стратегии решения задач;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понимание сущности алгоритмических предписаний и умение действовать в соответствии с предложенным алгоритмом;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самостоятельно ставить цели, выбирать и создавать алгоритмы для решения учебных математических проблем;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умение планировать и осуществлять деятельность, направленную на решение задач исследовательского характера;</w:t>
            </w:r>
          </w:p>
          <w:p w:rsidR="000A3AD4" w:rsidRDefault="000A3AD4" w:rsidP="000A3AD4">
            <w:pPr>
              <w:rPr>
                <w:i/>
                <w:iCs/>
                <w:color w:val="000000"/>
              </w:rPr>
            </w:pPr>
            <w:r w:rsidRPr="00A419E2">
              <w:rPr>
                <w:color w:val="000000"/>
              </w:rPr>
              <w:t xml:space="preserve">3) </w:t>
            </w:r>
            <w:r w:rsidRPr="00A419E2">
              <w:rPr>
                <w:i/>
                <w:iCs/>
                <w:color w:val="000000"/>
              </w:rPr>
              <w:t>в предметном направлении: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u w:val="single"/>
              </w:rPr>
              <w:t xml:space="preserve">выпускник </w:t>
            </w:r>
            <w:r w:rsidRPr="00F77537">
              <w:rPr>
                <w:i/>
                <w:u w:val="single"/>
              </w:rPr>
              <w:t xml:space="preserve"> научится: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проводить классификации, логические обоснования, доказательства математических утверждений;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 распознавать виды математических утверждений (аксиомы, определения, теоремы и др.), прямые и обратные теоремы;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измерять длины отрезков, величины углов, использовать формулы для нахождения периметров, площадей и объемов геометрических фигур и тел;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0A3AD4" w:rsidRDefault="000A3AD4" w:rsidP="000A3AD4">
            <w:pPr>
              <w:pStyle w:val="a4"/>
              <w:ind w:left="142" w:right="345"/>
              <w:rPr>
                <w:color w:val="000000"/>
              </w:rPr>
            </w:pPr>
            <w:r>
              <w:rPr>
                <w:b w:val="0"/>
                <w:i/>
                <w:u w:val="single"/>
              </w:rPr>
              <w:t xml:space="preserve">выпускник </w:t>
            </w:r>
            <w:r w:rsidRPr="00CE6D1B">
              <w:rPr>
                <w:b w:val="0"/>
                <w:i/>
                <w:u w:val="single"/>
              </w:rPr>
              <w:t xml:space="preserve"> получит возможность: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CE6D1B">
              <w:rPr>
                <w:i/>
                <w:color w:val="000000"/>
              </w:rPr>
              <w:t>овладеть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>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функция) как важнейших математических моделях, позволяющих описывать и изучать реальные процессы и явления;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 w:rsidRPr="00A419E2">
              <w:rPr>
                <w:color w:val="000000"/>
              </w:rPr>
              <w:t xml:space="preserve"> </w:t>
            </w:r>
            <w:r w:rsidRPr="00CE6D1B">
              <w:rPr>
                <w:i/>
                <w:color w:val="000000"/>
              </w:rPr>
              <w:t>иметь</w:t>
            </w:r>
            <w:r>
              <w:rPr>
                <w:color w:val="000000"/>
              </w:rPr>
              <w:t xml:space="preserve">  представление о </w:t>
            </w:r>
            <w:r w:rsidRPr="00A419E2">
              <w:rPr>
                <w:color w:val="000000"/>
              </w:rPr>
              <w:t>развити</w:t>
            </w:r>
            <w:r>
              <w:rPr>
                <w:color w:val="000000"/>
              </w:rPr>
              <w:t>и</w:t>
            </w:r>
            <w:r w:rsidRPr="00A419E2">
              <w:rPr>
                <w:color w:val="000000"/>
              </w:rPr>
              <w:t xml:space="preserve"> числ</w:t>
            </w:r>
            <w:r>
              <w:rPr>
                <w:color w:val="000000"/>
              </w:rPr>
              <w:t>а</w:t>
            </w:r>
            <w:r w:rsidRPr="00A419E2">
              <w:rPr>
                <w:color w:val="000000"/>
              </w:rPr>
              <w:t xml:space="preserve"> от натуральных до действительных, овладе</w:t>
            </w:r>
            <w:r>
              <w:rPr>
                <w:color w:val="000000"/>
              </w:rPr>
              <w:t xml:space="preserve">ть </w:t>
            </w:r>
            <w:r w:rsidRPr="00A419E2">
              <w:rPr>
                <w:color w:val="000000"/>
              </w:rPr>
              <w:t xml:space="preserve"> навыками устных, письменных, инструментальных вычислений;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CE6D1B">
              <w:rPr>
                <w:i/>
                <w:color w:val="000000"/>
              </w:rPr>
              <w:t>овладеть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>символьным языком алгебры, приемами выполнения тождественных преобразований выражений, решения уравнений, систем уравнений, умение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использовать идею координат на плоскости для интерпретации уравнений, систем, умение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применять алгебраические преобразования, аппарат уравнений для решения задач из различных разделов курса;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CE6D1B">
              <w:rPr>
                <w:i/>
                <w:color w:val="000000"/>
              </w:rPr>
              <w:t>овладеть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системой функциональных понятий, функциональным языком и символикой, умение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на основе функционально-графических представлений описывать и анализировать реальные зависимости;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t>•</w:t>
            </w:r>
            <w:r>
              <w:rPr>
                <w:color w:val="000000"/>
              </w:rPr>
              <w:t xml:space="preserve"> </w:t>
            </w:r>
            <w:r w:rsidRPr="00CE6D1B">
              <w:rPr>
                <w:i/>
                <w:color w:val="000000"/>
              </w:rPr>
              <w:t>овладеть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геометрическим языком, умение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использовать его для описания предметов окружающего мира, развитие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пространственных представлений и изобразительных умений, приобретение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навыков геометрических построений;</w:t>
            </w:r>
          </w:p>
          <w:p w:rsidR="000A3AD4" w:rsidRPr="00A419E2" w:rsidRDefault="000A3AD4" w:rsidP="000A3A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19E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•</w:t>
            </w:r>
            <w:r w:rsidRPr="00A419E2">
              <w:rPr>
                <w:color w:val="000000"/>
              </w:rPr>
              <w:t xml:space="preserve"> </w:t>
            </w:r>
            <w:r w:rsidRPr="00A419E2">
              <w:rPr>
                <w:i/>
                <w:color w:val="000000"/>
              </w:rPr>
              <w:t>усво</w:t>
            </w:r>
            <w:r w:rsidRPr="00382BFC">
              <w:rPr>
                <w:i/>
                <w:color w:val="000000"/>
              </w:rPr>
              <w:t>ить</w:t>
            </w:r>
            <w:r>
              <w:rPr>
                <w:color w:val="000000"/>
              </w:rPr>
              <w:t xml:space="preserve"> </w:t>
            </w:r>
            <w:r w:rsidRPr="00A419E2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у </w:t>
            </w:r>
            <w:r w:rsidRPr="00A419E2">
              <w:rPr>
                <w:color w:val="000000"/>
              </w:rPr>
              <w:t xml:space="preserve"> знаний о пространственных телах, умение</w:t>
            </w:r>
            <w:r>
              <w:rPr>
                <w:color w:val="000000"/>
              </w:rPr>
              <w:t xml:space="preserve">м </w:t>
            </w:r>
            <w:r w:rsidRPr="00A419E2">
              <w:rPr>
                <w:color w:val="000000"/>
              </w:rPr>
              <w:t xml:space="preserve"> применять систематические знания о них для решения геом</w:t>
            </w:r>
            <w:r>
              <w:rPr>
                <w:color w:val="000000"/>
              </w:rPr>
              <w:t>етрических и практических задач.</w:t>
            </w:r>
          </w:p>
          <w:p w:rsidR="000D0857" w:rsidRPr="000D0857" w:rsidRDefault="000D0857">
            <w:pPr>
              <w:rPr>
                <w:sz w:val="28"/>
              </w:rPr>
            </w:pPr>
          </w:p>
        </w:tc>
      </w:tr>
      <w:tr w:rsidR="000D0857" w:rsidRPr="000D0857" w:rsidTr="00E46174">
        <w:tc>
          <w:tcPr>
            <w:tcW w:w="2127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8329" w:type="dxa"/>
          </w:tcPr>
          <w:tbl>
            <w:tblPr>
              <w:tblW w:w="15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60"/>
            </w:tblGrid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Повторение курса 10 класса</w:t>
                  </w:r>
                  <w:r>
                    <w:t>(4ч)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Степени и корни. Степенные функции</w:t>
                  </w:r>
                  <w:r>
                    <w:t xml:space="preserve"> (15ч)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</w:tcPr>
                <w:p w:rsidR="000A3AD4" w:rsidRPr="001666E0" w:rsidRDefault="000A3AD4" w:rsidP="005A3598">
                  <w:pPr>
                    <w:widowControl w:val="0"/>
                    <w:jc w:val="both"/>
                  </w:pPr>
                  <w:r>
                    <w:t>Метод координат в пространстве (13ч)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Показательная, логарифмическая функции</w:t>
                  </w:r>
                  <w:r>
                    <w:t xml:space="preserve"> (24ч)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</w:tcPr>
                <w:p w:rsidR="000A3AD4" w:rsidRPr="001666E0" w:rsidRDefault="000A3AD4" w:rsidP="005A3598">
                  <w:pPr>
                    <w:widowControl w:val="0"/>
                    <w:jc w:val="both"/>
                  </w:pPr>
                  <w:r>
                    <w:t>Цилиндр, конус, шар (12ч)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Интеграл</w:t>
                  </w:r>
                  <w:r>
                    <w:t xml:space="preserve"> (7ч)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</w:tcPr>
                <w:p w:rsidR="000A3AD4" w:rsidRPr="001666E0" w:rsidRDefault="000A3AD4" w:rsidP="005A3598">
                  <w:pPr>
                    <w:widowControl w:val="0"/>
                    <w:jc w:val="both"/>
                  </w:pPr>
                  <w:r w:rsidRPr="001666E0">
                    <w:rPr>
                      <w:bCs/>
                    </w:rPr>
                    <w:t>Элементы комбинаторики, с</w:t>
                  </w:r>
                  <w:r>
                    <w:rPr>
                      <w:bCs/>
                    </w:rPr>
                    <w:t>татистики и теории вероятностей (12ч)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</w:tcPr>
                <w:p w:rsidR="000A3AD4" w:rsidRPr="001666E0" w:rsidRDefault="000A3AD4" w:rsidP="005A3598">
                  <w:pPr>
                    <w:widowControl w:val="0"/>
                    <w:jc w:val="both"/>
                  </w:pPr>
                  <w:r w:rsidRPr="001666E0">
                    <w:t>Объемы тел</w:t>
                  </w:r>
                  <w:r>
                    <w:t xml:space="preserve"> (17ч)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Уравнения и неравенства. Системы уравнений и неравенств</w:t>
                  </w:r>
                  <w:r>
                    <w:t xml:space="preserve"> (17ч)</w:t>
                  </w:r>
                </w:p>
              </w:tc>
            </w:tr>
            <w:tr w:rsidR="000A3AD4" w:rsidRPr="001666E0" w:rsidTr="00C01C7C">
              <w:tc>
                <w:tcPr>
                  <w:tcW w:w="15060" w:type="dxa"/>
                  <w:vAlign w:val="center"/>
                </w:tcPr>
                <w:p w:rsidR="000A3AD4" w:rsidRPr="001666E0" w:rsidRDefault="000A3AD4" w:rsidP="005A3598">
                  <w:pPr>
                    <w:snapToGrid w:val="0"/>
                    <w:jc w:val="both"/>
                  </w:pPr>
                  <w:r w:rsidRPr="001666E0">
                    <w:t>П</w:t>
                  </w:r>
                  <w:r>
                    <w:t>овторение курса 10 и 11 классов (15ч)</w:t>
                  </w:r>
                </w:p>
              </w:tc>
            </w:tr>
          </w:tbl>
          <w:p w:rsidR="000D0857" w:rsidRPr="000D0857" w:rsidRDefault="000D0857">
            <w:pPr>
              <w:rPr>
                <w:sz w:val="28"/>
              </w:rPr>
            </w:pP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A3AD4"/>
    <w:rsid w:val="000D0857"/>
    <w:rsid w:val="00272FA8"/>
    <w:rsid w:val="00B2781E"/>
    <w:rsid w:val="00C01C7C"/>
    <w:rsid w:val="00E46174"/>
    <w:rsid w:val="00E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A3AD4"/>
    <w:rPr>
      <w:rFonts w:eastAsia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A3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A3AD4"/>
    <w:rPr>
      <w:rFonts w:eastAsia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A3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5</cp:revision>
  <dcterms:created xsi:type="dcterms:W3CDTF">2018-09-03T05:23:00Z</dcterms:created>
  <dcterms:modified xsi:type="dcterms:W3CDTF">2018-09-06T16:58:00Z</dcterms:modified>
</cp:coreProperties>
</file>